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1F" w:rsidRDefault="007E7EE8" w:rsidP="00194110">
      <w:pPr>
        <w:pStyle w:val="Header"/>
        <w:tabs>
          <w:tab w:val="left" w:pos="720"/>
        </w:tabs>
        <w:rPr>
          <w:rFonts w:ascii="Arial" w:hAnsi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3648847" wp14:editId="32CCD0CE">
            <wp:simplePos x="0" y="0"/>
            <wp:positionH relativeFrom="page">
              <wp:posOffset>-28346</wp:posOffset>
            </wp:positionH>
            <wp:positionV relativeFrom="page">
              <wp:posOffset>0</wp:posOffset>
            </wp:positionV>
            <wp:extent cx="7610965" cy="1535502"/>
            <wp:effectExtent l="0" t="0" r="9525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 release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726"/>
                    <a:stretch/>
                  </pic:blipFill>
                  <pic:spPr bwMode="auto">
                    <a:xfrm>
                      <a:off x="0" y="0"/>
                      <a:ext cx="7615812" cy="1536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045">
        <w:rPr>
          <w:rFonts w:ascii="Arial" w:hAnsi="Arial"/>
          <w:b/>
          <w:sz w:val="22"/>
          <w:szCs w:val="22"/>
        </w:rPr>
        <w:t>1</w:t>
      </w:r>
      <w:r w:rsidR="00AE2BDA">
        <w:rPr>
          <w:rFonts w:ascii="Arial" w:hAnsi="Arial"/>
          <w:b/>
          <w:sz w:val="22"/>
          <w:szCs w:val="22"/>
        </w:rPr>
        <w:t>2</w:t>
      </w:r>
      <w:r w:rsidR="00720045">
        <w:rPr>
          <w:rFonts w:ascii="Arial" w:hAnsi="Arial"/>
          <w:b/>
          <w:sz w:val="22"/>
          <w:szCs w:val="22"/>
        </w:rPr>
        <w:t xml:space="preserve"> June 2019</w:t>
      </w:r>
    </w:p>
    <w:p w:rsidR="00D65B1F" w:rsidRPr="00D03117" w:rsidRDefault="00720045" w:rsidP="00194110">
      <w:pPr>
        <w:pStyle w:val="Heading3"/>
        <w:rPr>
          <w:sz w:val="32"/>
          <w:szCs w:val="44"/>
        </w:rPr>
      </w:pPr>
      <w:r>
        <w:rPr>
          <w:sz w:val="32"/>
          <w:szCs w:val="44"/>
        </w:rPr>
        <w:br/>
      </w:r>
      <w:r w:rsidR="00A40358">
        <w:rPr>
          <w:sz w:val="32"/>
          <w:szCs w:val="44"/>
        </w:rPr>
        <w:t>Is it time to make the switch?</w:t>
      </w:r>
    </w:p>
    <w:p w:rsidR="00720045" w:rsidRDefault="00C25ABE" w:rsidP="006E6E9B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F3F04">
        <w:rPr>
          <w:rFonts w:ascii="Arial" w:hAnsi="Arial" w:cs="Arial"/>
        </w:rPr>
        <w:t xml:space="preserve">With </w:t>
      </w:r>
      <w:r w:rsidR="00AA5404">
        <w:rPr>
          <w:rFonts w:ascii="Arial" w:hAnsi="Arial" w:cs="Arial"/>
        </w:rPr>
        <w:t>the Victorian Government prepar</w:t>
      </w:r>
      <w:r w:rsidR="00BF3F04">
        <w:rPr>
          <w:rFonts w:ascii="Arial" w:hAnsi="Arial" w:cs="Arial"/>
        </w:rPr>
        <w:t>ing</w:t>
      </w:r>
      <w:r w:rsidR="00AA5404">
        <w:rPr>
          <w:rFonts w:ascii="Arial" w:hAnsi="Arial" w:cs="Arial"/>
        </w:rPr>
        <w:t xml:space="preserve"> to re-open rebates for rooftop solar, it’</w:t>
      </w:r>
      <w:r w:rsidR="007F754F">
        <w:rPr>
          <w:rFonts w:ascii="Arial" w:hAnsi="Arial" w:cs="Arial"/>
        </w:rPr>
        <w:t xml:space="preserve">s an ideal time for </w:t>
      </w:r>
      <w:r w:rsidR="007E5C22">
        <w:rPr>
          <w:rFonts w:ascii="Arial" w:hAnsi="Arial" w:cs="Arial"/>
        </w:rPr>
        <w:t xml:space="preserve">people in the </w:t>
      </w:r>
      <w:r w:rsidR="007F754F">
        <w:rPr>
          <w:rFonts w:ascii="Arial" w:hAnsi="Arial" w:cs="Arial"/>
        </w:rPr>
        <w:t xml:space="preserve">Surf Coast </w:t>
      </w:r>
      <w:r w:rsidR="00AA5404">
        <w:rPr>
          <w:rFonts w:ascii="Arial" w:hAnsi="Arial" w:cs="Arial"/>
        </w:rPr>
        <w:t xml:space="preserve">to consider being part of the local </w:t>
      </w:r>
      <w:r w:rsidR="005F6C04">
        <w:rPr>
          <w:rFonts w:ascii="Arial" w:hAnsi="Arial" w:cs="Arial"/>
        </w:rPr>
        <w:t>surge in solar.</w:t>
      </w:r>
    </w:p>
    <w:p w:rsidR="005F6C04" w:rsidRDefault="005F6C04" w:rsidP="006E6E9B">
      <w:pPr>
        <w:rPr>
          <w:rFonts w:ascii="Arial" w:hAnsi="Arial" w:cs="Arial"/>
        </w:rPr>
      </w:pPr>
      <w:r>
        <w:rPr>
          <w:rFonts w:ascii="Arial" w:hAnsi="Arial" w:cs="Arial"/>
        </w:rPr>
        <w:t>From 2016 to 2017, rooftop solar doubled in the Surf Coast w</w:t>
      </w:r>
      <w:r w:rsidR="00BF3F04">
        <w:rPr>
          <w:rFonts w:ascii="Arial" w:hAnsi="Arial" w:cs="Arial"/>
        </w:rPr>
        <w:t>hile at the end of last year, 3</w:t>
      </w:r>
      <w:r>
        <w:rPr>
          <w:rFonts w:ascii="Arial" w:hAnsi="Arial" w:cs="Arial"/>
        </w:rPr>
        <w:t>242 homes and businesses had installed solar.</w:t>
      </w:r>
    </w:p>
    <w:p w:rsidR="005F6C04" w:rsidRDefault="005F6C04" w:rsidP="006E6E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Councillor Martin Duke is part of the Renewable Energy Taskforce, established by Surf Coast Shire Council. The Taskforce </w:t>
      </w:r>
      <w:r w:rsidR="00A40358">
        <w:rPr>
          <w:rFonts w:ascii="Arial" w:hAnsi="Arial" w:cs="Arial"/>
        </w:rPr>
        <w:t>has launched the Powered by Positive program</w:t>
      </w:r>
      <w:r w:rsidR="003D6E61">
        <w:rPr>
          <w:rFonts w:ascii="Arial" w:hAnsi="Arial" w:cs="Arial"/>
        </w:rPr>
        <w:t xml:space="preserve">, which </w:t>
      </w:r>
      <w:r w:rsidR="00A40358">
        <w:rPr>
          <w:rFonts w:ascii="Arial" w:hAnsi="Arial" w:cs="Arial"/>
        </w:rPr>
        <w:t>aims to help locals use less energy and make the switch to solar.</w:t>
      </w:r>
    </w:p>
    <w:p w:rsidR="00AA5404" w:rsidRDefault="005F6C04" w:rsidP="006E6E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Cr Duke said the </w:t>
      </w:r>
      <w:r w:rsidR="005F5E46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askforce was pleased to see the uptake of rooftop solar surge in </w:t>
      </w:r>
      <w:r w:rsidR="003D6E61">
        <w:rPr>
          <w:rFonts w:ascii="Arial" w:hAnsi="Arial" w:cs="Arial"/>
        </w:rPr>
        <w:t xml:space="preserve">the Surf Coast in recent years. </w:t>
      </w:r>
    </w:p>
    <w:p w:rsidR="003D6E61" w:rsidRDefault="003D6E61" w:rsidP="006E6E9B">
      <w:pPr>
        <w:rPr>
          <w:rFonts w:ascii="Arial" w:hAnsi="Arial" w:cs="Arial"/>
        </w:rPr>
      </w:pPr>
      <w:r>
        <w:rPr>
          <w:rFonts w:ascii="Arial" w:hAnsi="Arial" w:cs="Arial"/>
        </w:rPr>
        <w:t>“It’s a positive change and I encourage residents and businesses to join the movement of people making their own power,” Cr Duke said.</w:t>
      </w:r>
    </w:p>
    <w:p w:rsidR="005F6C04" w:rsidRDefault="003D6E61" w:rsidP="006E6E9B">
      <w:pPr>
        <w:rPr>
          <w:rFonts w:ascii="Arial" w:hAnsi="Arial" w:cs="Arial"/>
        </w:rPr>
      </w:pPr>
      <w:r>
        <w:rPr>
          <w:rFonts w:ascii="Arial" w:hAnsi="Arial" w:cs="Arial"/>
        </w:rPr>
        <w:t>The Victorian Government is providing eligible homeowners with a rebate of up to $2,225 off the ins</w:t>
      </w:r>
      <w:r w:rsidR="00BF3F04">
        <w:rPr>
          <w:rFonts w:ascii="Arial" w:hAnsi="Arial" w:cs="Arial"/>
        </w:rPr>
        <w:t xml:space="preserve">tallation of a solar PV system. </w:t>
      </w:r>
      <w:r w:rsidR="005F5E46">
        <w:rPr>
          <w:rFonts w:ascii="Arial" w:hAnsi="Arial" w:cs="Arial"/>
        </w:rPr>
        <w:t>R</w:t>
      </w:r>
      <w:r>
        <w:rPr>
          <w:rFonts w:ascii="Arial" w:hAnsi="Arial" w:cs="Arial"/>
        </w:rPr>
        <w:t>ebate applications will re-open on 1 July 2019.</w:t>
      </w:r>
    </w:p>
    <w:p w:rsidR="001939A5" w:rsidRDefault="001939A5" w:rsidP="006E6E9B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“The solar program was fully </w:t>
      </w:r>
      <w:r w:rsidR="005F5E46">
        <w:rPr>
          <w:rFonts w:ascii="Arial" w:hAnsi="Arial" w:cs="Arial"/>
        </w:rPr>
        <w:t>booked</w:t>
      </w:r>
      <w:r>
        <w:rPr>
          <w:rFonts w:ascii="Arial" w:hAnsi="Arial" w:cs="Arial"/>
        </w:rPr>
        <w:t xml:space="preserve"> for 2018-19 and it’s easy to understand why, with the state government offering a fantastic rebate for people who are eligible,” Cr Duke said.  </w:t>
      </w:r>
    </w:p>
    <w:p w:rsidR="001939A5" w:rsidRDefault="001939A5" w:rsidP="006E6E9B">
      <w:pPr>
        <w:rPr>
          <w:rFonts w:ascii="Arial" w:hAnsi="Arial" w:cs="Arial"/>
        </w:rPr>
      </w:pPr>
      <w:r>
        <w:rPr>
          <w:rFonts w:ascii="Arial" w:hAnsi="Arial" w:cs="Arial"/>
        </w:rPr>
        <w:t>“If you’ve been considering solar, July is a great time to look further into it.</w:t>
      </w:r>
      <w:r w:rsidR="004C1972">
        <w:rPr>
          <w:rFonts w:ascii="Arial" w:hAnsi="Arial" w:cs="Arial"/>
        </w:rPr>
        <w:t>”</w:t>
      </w:r>
    </w:p>
    <w:p w:rsidR="001939A5" w:rsidRDefault="001939A5" w:rsidP="006E6E9B">
      <w:pPr>
        <w:rPr>
          <w:rFonts w:ascii="Arial" w:hAnsi="Arial" w:cs="Arial"/>
        </w:rPr>
      </w:pPr>
      <w:r>
        <w:rPr>
          <w:rFonts w:ascii="Arial" w:hAnsi="Arial" w:cs="Arial"/>
        </w:rPr>
        <w:t>For people wanting to make s</w:t>
      </w:r>
      <w:r w:rsidR="00B94D94">
        <w:rPr>
          <w:rFonts w:ascii="Arial" w:hAnsi="Arial" w:cs="Arial"/>
        </w:rPr>
        <w:t>maller changes, Council’s</w:t>
      </w:r>
      <w:r>
        <w:rPr>
          <w:rFonts w:ascii="Arial" w:hAnsi="Arial" w:cs="Arial"/>
        </w:rPr>
        <w:t xml:space="preserve"> Powered by Positive website has a wealth </w:t>
      </w:r>
      <w:proofErr w:type="gramStart"/>
      <w:r>
        <w:rPr>
          <w:rFonts w:ascii="Arial" w:hAnsi="Arial" w:cs="Arial"/>
        </w:rPr>
        <w:t>of</w:t>
      </w:r>
      <w:proofErr w:type="gramEnd"/>
      <w:r>
        <w:rPr>
          <w:rFonts w:ascii="Arial" w:hAnsi="Arial" w:cs="Arial"/>
        </w:rPr>
        <w:t xml:space="preserve"> information including steps people can take in their daily lives to reduce their overall energy use and save money on their energy bills.</w:t>
      </w:r>
    </w:p>
    <w:p w:rsidR="00720045" w:rsidRDefault="001939A5" w:rsidP="0072004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The Powered by Positive website </w:t>
      </w:r>
      <w:r w:rsidRPr="00B458A8">
        <w:rPr>
          <w:rFonts w:ascii="Arial" w:hAnsi="Arial" w:cs="Arial"/>
        </w:rPr>
        <w:t>(</w:t>
      </w:r>
      <w:hyperlink r:id="rId9" w:history="1">
        <w:r w:rsidRPr="009E57C0">
          <w:rPr>
            <w:rStyle w:val="Hyperlink"/>
            <w:rFonts w:ascii="Arial" w:hAnsi="Arial" w:cs="Arial"/>
            <w:b/>
            <w:color w:val="auto"/>
          </w:rPr>
          <w:t>www.poweredbypositive.com.au</w:t>
        </w:r>
      </w:hyperlink>
      <w:r w:rsidRPr="00B458A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also links people to local suppliers who can help, and has the latest information on available funding and rebates.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:rsidR="00CF227E" w:rsidRDefault="00CF227E" w:rsidP="00720045">
      <w:pPr>
        <w:rPr>
          <w:rFonts w:ascii="Arial" w:hAnsi="Arial" w:cs="Arial"/>
          <w:b/>
          <w:sz w:val="18"/>
          <w:szCs w:val="18"/>
        </w:rPr>
      </w:pPr>
    </w:p>
    <w:p w:rsidR="00F25F9A" w:rsidRDefault="00F25F9A" w:rsidP="00F25F9A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Not for publication: </w:t>
      </w:r>
      <w:r w:rsidR="00337F98">
        <w:rPr>
          <w:rFonts w:ascii="Arial" w:hAnsi="Arial" w:cs="Arial"/>
          <w:b/>
          <w:sz w:val="18"/>
          <w:szCs w:val="18"/>
        </w:rPr>
        <w:br/>
      </w:r>
      <w:bookmarkStart w:id="0" w:name="_GoBack"/>
      <w:bookmarkEnd w:id="0"/>
    </w:p>
    <w:p w:rsidR="00D6210D" w:rsidRPr="00E0359C" w:rsidRDefault="00F25F9A" w:rsidP="00F25F9A">
      <w:pPr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-20955</wp:posOffset>
            </wp:positionH>
            <wp:positionV relativeFrom="page">
              <wp:posOffset>10046335</wp:posOffset>
            </wp:positionV>
            <wp:extent cx="7564120" cy="62928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986" b="1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4120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>For further information</w:t>
      </w:r>
      <w:r>
        <w:rPr>
          <w:rFonts w:ascii="Arial" w:hAnsi="Arial" w:cs="Arial"/>
          <w:sz w:val="18"/>
          <w:szCs w:val="18"/>
        </w:rPr>
        <w:br/>
        <w:t>Kate Fowles - Communications Officer</w:t>
      </w:r>
      <w:r>
        <w:rPr>
          <w:rFonts w:ascii="Arial" w:hAnsi="Arial" w:cs="Arial"/>
          <w:sz w:val="18"/>
          <w:szCs w:val="18"/>
        </w:rPr>
        <w:br/>
        <w:t>5261 0564     0428 436 489</w:t>
      </w:r>
      <w:r w:rsidR="00337F98">
        <w:rPr>
          <w:rFonts w:ascii="Arial" w:hAnsi="Arial" w:cs="Arial"/>
          <w:sz w:val="18"/>
          <w:szCs w:val="18"/>
        </w:rPr>
        <w:t xml:space="preserve">   </w:t>
      </w:r>
    </w:p>
    <w:sectPr w:rsidR="00D6210D" w:rsidRPr="00E0359C" w:rsidSect="00C25ABE">
      <w:pgSz w:w="11906" w:h="16838"/>
      <w:pgMar w:top="2977" w:right="1134" w:bottom="993" w:left="1134" w:header="425" w:footer="556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E138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2DC" w:rsidRDefault="00C612DC" w:rsidP="00A54BE8">
      <w:pPr>
        <w:spacing w:after="0" w:line="240" w:lineRule="auto"/>
      </w:pPr>
      <w:r>
        <w:separator/>
      </w:r>
    </w:p>
  </w:endnote>
  <w:endnote w:type="continuationSeparator" w:id="0">
    <w:p w:rsidR="00C612DC" w:rsidRDefault="00C612DC" w:rsidP="00A54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2DC" w:rsidRDefault="00C612DC" w:rsidP="00A54BE8">
      <w:pPr>
        <w:spacing w:after="0" w:line="240" w:lineRule="auto"/>
      </w:pPr>
      <w:r>
        <w:separator/>
      </w:r>
    </w:p>
  </w:footnote>
  <w:footnote w:type="continuationSeparator" w:id="0">
    <w:p w:rsidR="00C612DC" w:rsidRDefault="00C612DC" w:rsidP="00A54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D3BD2"/>
    <w:multiLevelType w:val="multilevel"/>
    <w:tmpl w:val="3FBA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806D2"/>
    <w:multiLevelType w:val="hybridMultilevel"/>
    <w:tmpl w:val="A420D914"/>
    <w:lvl w:ilvl="0" w:tplc="693EEC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5A48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0E5C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1A29F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BE54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226D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E6740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7E75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66DF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74A12A4"/>
    <w:multiLevelType w:val="hybridMultilevel"/>
    <w:tmpl w:val="BE7881F6"/>
    <w:lvl w:ilvl="0" w:tplc="4B06B2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089E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DEE7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56F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9A39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FAE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109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4CDF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7A44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4235C6"/>
    <w:multiLevelType w:val="hybridMultilevel"/>
    <w:tmpl w:val="7C96E818"/>
    <w:lvl w:ilvl="0" w:tplc="6EB0B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8AA7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9C6C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40A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5C51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BC65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D2B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7E85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F0D9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e Fowles">
    <w15:presenceInfo w15:providerId="AD" w15:userId="S-1-5-21-224526448-80179910-1231754661-192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1F"/>
    <w:rsid w:val="00047849"/>
    <w:rsid w:val="000604D6"/>
    <w:rsid w:val="0006064F"/>
    <w:rsid w:val="00065627"/>
    <w:rsid w:val="000749ED"/>
    <w:rsid w:val="000B35D8"/>
    <w:rsid w:val="000C18FA"/>
    <w:rsid w:val="000D1D5F"/>
    <w:rsid w:val="000D2C8C"/>
    <w:rsid w:val="000F4396"/>
    <w:rsid w:val="001034E4"/>
    <w:rsid w:val="00117664"/>
    <w:rsid w:val="00121B0F"/>
    <w:rsid w:val="00140B99"/>
    <w:rsid w:val="0014764E"/>
    <w:rsid w:val="001527A9"/>
    <w:rsid w:val="00153A59"/>
    <w:rsid w:val="00161D22"/>
    <w:rsid w:val="001939A5"/>
    <w:rsid w:val="00194110"/>
    <w:rsid w:val="001A05D8"/>
    <w:rsid w:val="001E20F4"/>
    <w:rsid w:val="001E2CCF"/>
    <w:rsid w:val="001E5F56"/>
    <w:rsid w:val="001F5529"/>
    <w:rsid w:val="001F65E5"/>
    <w:rsid w:val="00200F7A"/>
    <w:rsid w:val="002566DF"/>
    <w:rsid w:val="00260E10"/>
    <w:rsid w:val="00266687"/>
    <w:rsid w:val="0027556E"/>
    <w:rsid w:val="002B6D87"/>
    <w:rsid w:val="002D3F78"/>
    <w:rsid w:val="002D7B55"/>
    <w:rsid w:val="00317206"/>
    <w:rsid w:val="00322459"/>
    <w:rsid w:val="003252E8"/>
    <w:rsid w:val="00337F98"/>
    <w:rsid w:val="00347DD7"/>
    <w:rsid w:val="00352542"/>
    <w:rsid w:val="00355BE2"/>
    <w:rsid w:val="00364AF1"/>
    <w:rsid w:val="003915D7"/>
    <w:rsid w:val="003D63E8"/>
    <w:rsid w:val="003D6E61"/>
    <w:rsid w:val="003E51A3"/>
    <w:rsid w:val="003F4907"/>
    <w:rsid w:val="00400086"/>
    <w:rsid w:val="00410BE3"/>
    <w:rsid w:val="00412FE4"/>
    <w:rsid w:val="00423D82"/>
    <w:rsid w:val="00424999"/>
    <w:rsid w:val="00432B84"/>
    <w:rsid w:val="00444D40"/>
    <w:rsid w:val="00463216"/>
    <w:rsid w:val="00472583"/>
    <w:rsid w:val="00476B78"/>
    <w:rsid w:val="00483E0F"/>
    <w:rsid w:val="004920E6"/>
    <w:rsid w:val="00492A7B"/>
    <w:rsid w:val="004C1972"/>
    <w:rsid w:val="004C3EF2"/>
    <w:rsid w:val="004F05F6"/>
    <w:rsid w:val="005147C1"/>
    <w:rsid w:val="00514A2B"/>
    <w:rsid w:val="00515A23"/>
    <w:rsid w:val="00524F09"/>
    <w:rsid w:val="00530C06"/>
    <w:rsid w:val="0053117B"/>
    <w:rsid w:val="00537D37"/>
    <w:rsid w:val="005814FD"/>
    <w:rsid w:val="00582C00"/>
    <w:rsid w:val="00590C39"/>
    <w:rsid w:val="005967AC"/>
    <w:rsid w:val="005B6D01"/>
    <w:rsid w:val="005D47CA"/>
    <w:rsid w:val="005D623C"/>
    <w:rsid w:val="005E27E5"/>
    <w:rsid w:val="005F5E46"/>
    <w:rsid w:val="005F6C04"/>
    <w:rsid w:val="006014DF"/>
    <w:rsid w:val="00610353"/>
    <w:rsid w:val="0063259D"/>
    <w:rsid w:val="0063428B"/>
    <w:rsid w:val="006E6E9B"/>
    <w:rsid w:val="007042B3"/>
    <w:rsid w:val="00704E84"/>
    <w:rsid w:val="00720045"/>
    <w:rsid w:val="0075430F"/>
    <w:rsid w:val="00756AEF"/>
    <w:rsid w:val="00762416"/>
    <w:rsid w:val="00776D85"/>
    <w:rsid w:val="007A0445"/>
    <w:rsid w:val="007B0E56"/>
    <w:rsid w:val="007C3DA3"/>
    <w:rsid w:val="007C5F5B"/>
    <w:rsid w:val="007E0825"/>
    <w:rsid w:val="007E5C22"/>
    <w:rsid w:val="007E7EE8"/>
    <w:rsid w:val="007F212B"/>
    <w:rsid w:val="007F754F"/>
    <w:rsid w:val="00805FC6"/>
    <w:rsid w:val="0080717A"/>
    <w:rsid w:val="00817571"/>
    <w:rsid w:val="008409D5"/>
    <w:rsid w:val="008415DF"/>
    <w:rsid w:val="008475D6"/>
    <w:rsid w:val="00857A9C"/>
    <w:rsid w:val="00885836"/>
    <w:rsid w:val="008860B7"/>
    <w:rsid w:val="008B5EB8"/>
    <w:rsid w:val="008C643A"/>
    <w:rsid w:val="008D28E9"/>
    <w:rsid w:val="008E1B57"/>
    <w:rsid w:val="0090479E"/>
    <w:rsid w:val="00904D64"/>
    <w:rsid w:val="00932FD5"/>
    <w:rsid w:val="00937183"/>
    <w:rsid w:val="0095530A"/>
    <w:rsid w:val="0097790D"/>
    <w:rsid w:val="00987E32"/>
    <w:rsid w:val="009C0C8E"/>
    <w:rsid w:val="009C2C01"/>
    <w:rsid w:val="009D3EF9"/>
    <w:rsid w:val="009E57C0"/>
    <w:rsid w:val="00A13CBB"/>
    <w:rsid w:val="00A33E23"/>
    <w:rsid w:val="00A40358"/>
    <w:rsid w:val="00A428C6"/>
    <w:rsid w:val="00A46F43"/>
    <w:rsid w:val="00A506F9"/>
    <w:rsid w:val="00A54BE8"/>
    <w:rsid w:val="00A647BC"/>
    <w:rsid w:val="00A756B7"/>
    <w:rsid w:val="00A85AEF"/>
    <w:rsid w:val="00A85B96"/>
    <w:rsid w:val="00A86223"/>
    <w:rsid w:val="00AA0971"/>
    <w:rsid w:val="00AA5404"/>
    <w:rsid w:val="00AC2689"/>
    <w:rsid w:val="00AE1325"/>
    <w:rsid w:val="00AE2BDA"/>
    <w:rsid w:val="00AE34DB"/>
    <w:rsid w:val="00B07286"/>
    <w:rsid w:val="00B458A8"/>
    <w:rsid w:val="00B5659D"/>
    <w:rsid w:val="00B641A6"/>
    <w:rsid w:val="00B70147"/>
    <w:rsid w:val="00B91EC2"/>
    <w:rsid w:val="00B94D94"/>
    <w:rsid w:val="00BB45FD"/>
    <w:rsid w:val="00BC5CC7"/>
    <w:rsid w:val="00BD2B31"/>
    <w:rsid w:val="00BD7824"/>
    <w:rsid w:val="00BF1FC4"/>
    <w:rsid w:val="00BF3F04"/>
    <w:rsid w:val="00BF7F8E"/>
    <w:rsid w:val="00C25ABE"/>
    <w:rsid w:val="00C311E4"/>
    <w:rsid w:val="00C612DC"/>
    <w:rsid w:val="00C65240"/>
    <w:rsid w:val="00C67990"/>
    <w:rsid w:val="00C72BFD"/>
    <w:rsid w:val="00C83395"/>
    <w:rsid w:val="00C97B4A"/>
    <w:rsid w:val="00CA2C7E"/>
    <w:rsid w:val="00CA7D07"/>
    <w:rsid w:val="00CC3B36"/>
    <w:rsid w:val="00CF227E"/>
    <w:rsid w:val="00D06C3C"/>
    <w:rsid w:val="00D3101E"/>
    <w:rsid w:val="00D40AF2"/>
    <w:rsid w:val="00D40C4B"/>
    <w:rsid w:val="00D513CB"/>
    <w:rsid w:val="00D6210D"/>
    <w:rsid w:val="00D63B5E"/>
    <w:rsid w:val="00D65B1F"/>
    <w:rsid w:val="00D85A8B"/>
    <w:rsid w:val="00D9529C"/>
    <w:rsid w:val="00DC5055"/>
    <w:rsid w:val="00DC5A47"/>
    <w:rsid w:val="00DE569E"/>
    <w:rsid w:val="00DE5B6D"/>
    <w:rsid w:val="00DF4060"/>
    <w:rsid w:val="00E0359C"/>
    <w:rsid w:val="00E104B3"/>
    <w:rsid w:val="00E43265"/>
    <w:rsid w:val="00E604F1"/>
    <w:rsid w:val="00E64274"/>
    <w:rsid w:val="00E671CF"/>
    <w:rsid w:val="00E7177B"/>
    <w:rsid w:val="00E85910"/>
    <w:rsid w:val="00EC27BB"/>
    <w:rsid w:val="00F011C8"/>
    <w:rsid w:val="00F0731E"/>
    <w:rsid w:val="00F0740B"/>
    <w:rsid w:val="00F12390"/>
    <w:rsid w:val="00F25F9A"/>
    <w:rsid w:val="00F3727B"/>
    <w:rsid w:val="00F54107"/>
    <w:rsid w:val="00F631ED"/>
    <w:rsid w:val="00F82D36"/>
    <w:rsid w:val="00F845C7"/>
    <w:rsid w:val="00FA3F9B"/>
    <w:rsid w:val="00FD0B72"/>
    <w:rsid w:val="00F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40"/>
  </w:style>
  <w:style w:type="paragraph" w:styleId="Heading3">
    <w:name w:val="heading 3"/>
    <w:basedOn w:val="Normal"/>
    <w:next w:val="Normal"/>
    <w:link w:val="Heading3Char"/>
    <w:qFormat/>
    <w:rsid w:val="00444D40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napToGrid w:val="0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4D40"/>
    <w:rPr>
      <w:rFonts w:ascii="Arial" w:eastAsia="Times New Roman" w:hAnsi="Arial" w:cs="Times New Roman"/>
      <w:b/>
      <w:snapToGrid w:val="0"/>
      <w:color w:val="000000"/>
      <w:sz w:val="24"/>
      <w:szCs w:val="20"/>
    </w:rPr>
  </w:style>
  <w:style w:type="paragraph" w:styleId="Header">
    <w:name w:val="header"/>
    <w:basedOn w:val="Normal"/>
    <w:link w:val="HeaderChar"/>
    <w:rsid w:val="00444D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444D4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54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BE8"/>
  </w:style>
  <w:style w:type="paragraph" w:styleId="BalloonText">
    <w:name w:val="Balloon Text"/>
    <w:basedOn w:val="Normal"/>
    <w:link w:val="BalloonTextChar"/>
    <w:uiPriority w:val="99"/>
    <w:semiHidden/>
    <w:unhideWhenUsed/>
    <w:rsid w:val="00A5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B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5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B1F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B1F"/>
    <w:rPr>
      <w:rFonts w:ascii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5B1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845C7"/>
    <w:rPr>
      <w:b/>
      <w:bCs/>
    </w:rPr>
  </w:style>
  <w:style w:type="paragraph" w:styleId="ListParagraph">
    <w:name w:val="List Paragraph"/>
    <w:basedOn w:val="Normal"/>
    <w:uiPriority w:val="34"/>
    <w:qFormat/>
    <w:rsid w:val="0075430F"/>
    <w:pPr>
      <w:spacing w:after="0" w:line="240" w:lineRule="auto"/>
      <w:ind w:left="720"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A85AEF"/>
    <w:rPr>
      <w:i/>
      <w:iCs/>
    </w:rPr>
  </w:style>
  <w:style w:type="paragraph" w:customStyle="1" w:styleId="Default">
    <w:name w:val="Default"/>
    <w:uiPriority w:val="99"/>
    <w:rsid w:val="000604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396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396"/>
    <w:rPr>
      <w:rFonts w:ascii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D40"/>
  </w:style>
  <w:style w:type="paragraph" w:styleId="Heading3">
    <w:name w:val="heading 3"/>
    <w:basedOn w:val="Normal"/>
    <w:next w:val="Normal"/>
    <w:link w:val="Heading3Char"/>
    <w:qFormat/>
    <w:rsid w:val="00444D40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napToGrid w:val="0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44D40"/>
    <w:rPr>
      <w:rFonts w:ascii="Arial" w:eastAsia="Times New Roman" w:hAnsi="Arial" w:cs="Times New Roman"/>
      <w:b/>
      <w:snapToGrid w:val="0"/>
      <w:color w:val="000000"/>
      <w:sz w:val="24"/>
      <w:szCs w:val="20"/>
    </w:rPr>
  </w:style>
  <w:style w:type="paragraph" w:styleId="Header">
    <w:name w:val="header"/>
    <w:basedOn w:val="Normal"/>
    <w:link w:val="HeaderChar"/>
    <w:rsid w:val="00444D4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customStyle="1" w:styleId="HeaderChar">
    <w:name w:val="Header Char"/>
    <w:basedOn w:val="DefaultParagraphFont"/>
    <w:link w:val="Header"/>
    <w:rsid w:val="00444D4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54B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BE8"/>
  </w:style>
  <w:style w:type="paragraph" w:styleId="BalloonText">
    <w:name w:val="Balloon Text"/>
    <w:basedOn w:val="Normal"/>
    <w:link w:val="BalloonTextChar"/>
    <w:uiPriority w:val="99"/>
    <w:semiHidden/>
    <w:unhideWhenUsed/>
    <w:rsid w:val="00A54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BE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5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B1F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B1F"/>
    <w:rPr>
      <w:rFonts w:ascii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5B1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845C7"/>
    <w:rPr>
      <w:b/>
      <w:bCs/>
    </w:rPr>
  </w:style>
  <w:style w:type="paragraph" w:styleId="ListParagraph">
    <w:name w:val="List Paragraph"/>
    <w:basedOn w:val="Normal"/>
    <w:uiPriority w:val="34"/>
    <w:qFormat/>
    <w:rsid w:val="0075430F"/>
    <w:pPr>
      <w:spacing w:after="0" w:line="240" w:lineRule="auto"/>
      <w:ind w:left="720"/>
    </w:pPr>
    <w:rPr>
      <w:rFonts w:ascii="Calibri" w:hAnsi="Calibri" w:cs="Times New Roman"/>
    </w:rPr>
  </w:style>
  <w:style w:type="character" w:styleId="Emphasis">
    <w:name w:val="Emphasis"/>
    <w:basedOn w:val="DefaultParagraphFont"/>
    <w:uiPriority w:val="20"/>
    <w:qFormat/>
    <w:rsid w:val="00A85AEF"/>
    <w:rPr>
      <w:i/>
      <w:iCs/>
    </w:rPr>
  </w:style>
  <w:style w:type="paragraph" w:customStyle="1" w:styleId="Default">
    <w:name w:val="Default"/>
    <w:uiPriority w:val="99"/>
    <w:rsid w:val="000604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396"/>
    <w:pPr>
      <w:spacing w:after="200"/>
    </w:pPr>
    <w:rPr>
      <w:rFonts w:ascii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396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6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0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8094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679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5273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5614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0899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9668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7673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914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9259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786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535">
          <w:marLeft w:val="706"/>
          <w:marRight w:val="0"/>
          <w:marTop w:val="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496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oweredbypositive.com.au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Surf Coast Shire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Fowles</dc:creator>
  <cp:lastModifiedBy>Kate Fowles</cp:lastModifiedBy>
  <cp:revision>3</cp:revision>
  <dcterms:created xsi:type="dcterms:W3CDTF">2019-06-11T06:37:00Z</dcterms:created>
  <dcterms:modified xsi:type="dcterms:W3CDTF">2019-06-12T05:10:00Z</dcterms:modified>
</cp:coreProperties>
</file>