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2B" w:rsidRDefault="007E7EE8" w:rsidP="00CF2F2B">
      <w:pPr>
        <w:pStyle w:val="Header"/>
        <w:tabs>
          <w:tab w:val="left" w:pos="720"/>
        </w:tabs>
        <w:rPr>
          <w:rFonts w:ascii="Arial" w:hAnsi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648847" wp14:editId="32CCD0CE">
            <wp:simplePos x="0" y="0"/>
            <wp:positionH relativeFrom="page">
              <wp:posOffset>-28346</wp:posOffset>
            </wp:positionH>
            <wp:positionV relativeFrom="page">
              <wp:posOffset>0</wp:posOffset>
            </wp:positionV>
            <wp:extent cx="7610965" cy="1535502"/>
            <wp:effectExtent l="0" t="0" r="952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 releas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726"/>
                    <a:stretch/>
                  </pic:blipFill>
                  <pic:spPr bwMode="auto">
                    <a:xfrm>
                      <a:off x="0" y="0"/>
                      <a:ext cx="7615812" cy="1536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FAD">
        <w:rPr>
          <w:rFonts w:ascii="Arial" w:hAnsi="Arial"/>
          <w:b/>
          <w:sz w:val="22"/>
          <w:szCs w:val="22"/>
        </w:rPr>
        <w:t xml:space="preserve">Monday 25 </w:t>
      </w:r>
      <w:r w:rsidR="009C6E7F">
        <w:rPr>
          <w:rFonts w:ascii="Arial" w:hAnsi="Arial"/>
          <w:b/>
          <w:sz w:val="22"/>
          <w:szCs w:val="22"/>
        </w:rPr>
        <w:t>Novem</w:t>
      </w:r>
      <w:r w:rsidR="006E4456">
        <w:rPr>
          <w:rFonts w:ascii="Arial" w:hAnsi="Arial"/>
          <w:b/>
          <w:sz w:val="22"/>
          <w:szCs w:val="22"/>
        </w:rPr>
        <w:t>ber</w:t>
      </w:r>
      <w:r w:rsidR="00F85CB7">
        <w:rPr>
          <w:rFonts w:ascii="Arial" w:hAnsi="Arial"/>
          <w:b/>
          <w:sz w:val="22"/>
          <w:szCs w:val="22"/>
        </w:rPr>
        <w:t xml:space="preserve"> </w:t>
      </w:r>
      <w:r w:rsidR="00720045">
        <w:rPr>
          <w:rFonts w:ascii="Arial" w:hAnsi="Arial"/>
          <w:b/>
          <w:sz w:val="22"/>
          <w:szCs w:val="22"/>
        </w:rPr>
        <w:t>2019</w:t>
      </w:r>
    </w:p>
    <w:p w:rsidR="00CF2F2B" w:rsidRDefault="00AF7303" w:rsidP="00B665F3">
      <w:pPr>
        <w:pStyle w:val="Header"/>
        <w:tabs>
          <w:tab w:val="left" w:pos="720"/>
        </w:tabs>
        <w:rPr>
          <w:rFonts w:ascii="Arial" w:hAnsi="Arial" w:cs="Arial"/>
          <w:b/>
          <w:sz w:val="40"/>
          <w:szCs w:val="40"/>
        </w:rPr>
      </w:pPr>
      <w:r>
        <w:rPr>
          <w:sz w:val="32"/>
          <w:szCs w:val="44"/>
        </w:rPr>
        <w:br/>
      </w:r>
      <w:r w:rsidR="00DD5CBD">
        <w:rPr>
          <w:rFonts w:ascii="Arial" w:hAnsi="Arial" w:cs="Arial"/>
          <w:b/>
          <w:sz w:val="40"/>
          <w:szCs w:val="40"/>
        </w:rPr>
        <w:t>New Year’s Eve fireworks</w:t>
      </w:r>
    </w:p>
    <w:p w:rsidR="00B665F3" w:rsidRPr="00B665F3" w:rsidRDefault="00B665F3" w:rsidP="00B665F3">
      <w:pPr>
        <w:pStyle w:val="Header"/>
        <w:tabs>
          <w:tab w:val="left" w:pos="720"/>
        </w:tabs>
        <w:rPr>
          <w:rFonts w:ascii="Arial" w:hAnsi="Arial"/>
          <w:b/>
          <w:sz w:val="22"/>
          <w:szCs w:val="22"/>
        </w:rPr>
      </w:pPr>
    </w:p>
    <w:p w:rsidR="00DD5CBD" w:rsidRDefault="00630433" w:rsidP="00DD5CBD">
      <w:pPr>
        <w:rPr>
          <w:rFonts w:ascii="Arial" w:hAnsi="Arial" w:cs="Arial"/>
        </w:rPr>
      </w:pPr>
      <w:r>
        <w:rPr>
          <w:rFonts w:ascii="Arial" w:hAnsi="Arial" w:cs="Arial"/>
        </w:rPr>
        <w:t>Surf Coast Shire Coun</w:t>
      </w:r>
      <w:bookmarkStart w:id="0" w:name="_GoBack"/>
      <w:bookmarkEnd w:id="0"/>
      <w:r>
        <w:rPr>
          <w:rFonts w:ascii="Arial" w:hAnsi="Arial" w:cs="Arial"/>
        </w:rPr>
        <w:t>cil</w:t>
      </w:r>
      <w:r w:rsidR="00DD5CBD">
        <w:rPr>
          <w:rFonts w:ascii="Arial" w:hAnsi="Arial" w:cs="Arial"/>
        </w:rPr>
        <w:t xml:space="preserve"> will </w:t>
      </w:r>
      <w:r w:rsidR="00420F86">
        <w:rPr>
          <w:rFonts w:ascii="Arial" w:hAnsi="Arial" w:cs="Arial"/>
        </w:rPr>
        <w:t>cease</w:t>
      </w:r>
      <w:r w:rsidR="00DD5CBD">
        <w:rPr>
          <w:rFonts w:ascii="Arial" w:hAnsi="Arial" w:cs="Arial"/>
        </w:rPr>
        <w:t xml:space="preserve"> publicly</w:t>
      </w:r>
      <w:r w:rsidR="00420F86">
        <w:rPr>
          <w:rFonts w:ascii="Arial" w:hAnsi="Arial" w:cs="Arial"/>
        </w:rPr>
        <w:t xml:space="preserve"> funded fireworks in Torquay this </w:t>
      </w:r>
      <w:r w:rsidR="00DD5CBD">
        <w:rPr>
          <w:rFonts w:ascii="Arial" w:hAnsi="Arial" w:cs="Arial"/>
        </w:rPr>
        <w:t>New Year’s Eve.</w:t>
      </w:r>
    </w:p>
    <w:p w:rsidR="00DD5CBD" w:rsidRDefault="00DD5CBD" w:rsidP="00DD5CBD">
      <w:pPr>
        <w:rPr>
          <w:rFonts w:ascii="Arial" w:hAnsi="Arial" w:cs="Arial"/>
        </w:rPr>
      </w:pPr>
      <w:r>
        <w:rPr>
          <w:rFonts w:ascii="Arial" w:hAnsi="Arial" w:cs="Arial"/>
        </w:rPr>
        <w:t>Torquay</w:t>
      </w:r>
      <w:r w:rsidR="00040158">
        <w:rPr>
          <w:rFonts w:ascii="Arial" w:hAnsi="Arial" w:cs="Arial"/>
        </w:rPr>
        <w:t xml:space="preserve"> will still get to experience New Year’s Eve fireworks</w:t>
      </w:r>
      <w:r>
        <w:rPr>
          <w:rFonts w:ascii="Arial" w:hAnsi="Arial" w:cs="Arial"/>
        </w:rPr>
        <w:t xml:space="preserve"> through a display</w:t>
      </w:r>
      <w:r w:rsidR="00040158">
        <w:rPr>
          <w:rFonts w:ascii="Arial" w:hAnsi="Arial" w:cs="Arial"/>
        </w:rPr>
        <w:t xml:space="preserve"> funded and </w:t>
      </w:r>
      <w:r>
        <w:rPr>
          <w:rFonts w:ascii="Arial" w:hAnsi="Arial" w:cs="Arial"/>
        </w:rPr>
        <w:t xml:space="preserve">operated by </w:t>
      </w:r>
      <w:r w:rsidR="008F2BDC">
        <w:rPr>
          <w:rFonts w:ascii="Arial" w:hAnsi="Arial" w:cs="Arial"/>
        </w:rPr>
        <w:t>a local holiday resort</w:t>
      </w:r>
      <w:r w:rsidR="00442751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Council’s Lorne fireworks will continue as in previous years.</w:t>
      </w:r>
    </w:p>
    <w:p w:rsidR="00DD5CBD" w:rsidRDefault="00DD5CBD" w:rsidP="00DD5CBD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040158">
        <w:rPr>
          <w:rFonts w:ascii="Arial" w:hAnsi="Arial" w:cs="Arial"/>
        </w:rPr>
        <w:t xml:space="preserve"> change in</w:t>
      </w:r>
      <w:r w:rsidR="00442751">
        <w:rPr>
          <w:rFonts w:ascii="Arial" w:hAnsi="Arial" w:cs="Arial"/>
        </w:rPr>
        <w:t xml:space="preserve"> Torquay </w:t>
      </w:r>
      <w:r>
        <w:rPr>
          <w:rFonts w:ascii="Arial" w:hAnsi="Arial" w:cs="Arial"/>
        </w:rPr>
        <w:t>is in line with a long standing approach to New Year’s Eve celebrations based on ha</w:t>
      </w:r>
      <w:r w:rsidR="00442751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m minimisation. </w:t>
      </w:r>
    </w:p>
    <w:p w:rsidR="00442751" w:rsidRDefault="00040158" w:rsidP="00DD5CBD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DD5CBD">
        <w:rPr>
          <w:rFonts w:ascii="Arial" w:hAnsi="Arial" w:cs="Arial"/>
        </w:rPr>
        <w:t>Histor</w:t>
      </w:r>
      <w:r w:rsidR="00C57456">
        <w:rPr>
          <w:rFonts w:ascii="Arial" w:hAnsi="Arial" w:cs="Arial"/>
        </w:rPr>
        <w:t>i</w:t>
      </w:r>
      <w:r w:rsidR="00DD5CBD">
        <w:rPr>
          <w:rFonts w:ascii="Arial" w:hAnsi="Arial" w:cs="Arial"/>
        </w:rPr>
        <w:t xml:space="preserve">cally Torquay and Lorne </w:t>
      </w:r>
      <w:r w:rsidR="00442751">
        <w:rPr>
          <w:rFonts w:ascii="Arial" w:hAnsi="Arial" w:cs="Arial"/>
        </w:rPr>
        <w:t xml:space="preserve">townships </w:t>
      </w:r>
      <w:r w:rsidR="00DD5CBD">
        <w:rPr>
          <w:rFonts w:ascii="Arial" w:hAnsi="Arial" w:cs="Arial"/>
        </w:rPr>
        <w:t xml:space="preserve">experienced a large number of </w:t>
      </w:r>
      <w:r>
        <w:rPr>
          <w:rFonts w:ascii="Arial" w:hAnsi="Arial" w:cs="Arial"/>
        </w:rPr>
        <w:t>anti-social</w:t>
      </w:r>
      <w:r w:rsidR="00DD5CBD">
        <w:rPr>
          <w:rFonts w:ascii="Arial" w:hAnsi="Arial" w:cs="Arial"/>
        </w:rPr>
        <w:t xml:space="preserve"> and medical incidents on New Year’s Eve</w:t>
      </w:r>
      <w:r w:rsidR="00C57456">
        <w:rPr>
          <w:rFonts w:ascii="Arial" w:hAnsi="Arial" w:cs="Arial"/>
        </w:rPr>
        <w:t>. Since then</w:t>
      </w:r>
      <w:r w:rsidR="00442751">
        <w:rPr>
          <w:rFonts w:ascii="Arial" w:hAnsi="Arial" w:cs="Arial"/>
        </w:rPr>
        <w:t xml:space="preserve"> </w:t>
      </w:r>
      <w:r w:rsidR="00DD5CBD">
        <w:rPr>
          <w:rFonts w:ascii="Arial" w:hAnsi="Arial" w:cs="Arial"/>
        </w:rPr>
        <w:t>Council has worked closely with police</w:t>
      </w:r>
      <w:r w:rsidR="00442751">
        <w:rPr>
          <w:rFonts w:ascii="Arial" w:hAnsi="Arial" w:cs="Arial"/>
        </w:rPr>
        <w:t>,</w:t>
      </w:r>
      <w:r w:rsidR="00DD5CBD">
        <w:rPr>
          <w:rFonts w:ascii="Arial" w:hAnsi="Arial" w:cs="Arial"/>
        </w:rPr>
        <w:t xml:space="preserve"> and other agencies</w:t>
      </w:r>
      <w:r w:rsidR="00442751">
        <w:rPr>
          <w:rFonts w:ascii="Arial" w:hAnsi="Arial" w:cs="Arial"/>
        </w:rPr>
        <w:t>,</w:t>
      </w:r>
      <w:r w:rsidR="00DD5CBD">
        <w:rPr>
          <w:rFonts w:ascii="Arial" w:hAnsi="Arial" w:cs="Arial"/>
        </w:rPr>
        <w:t xml:space="preserve"> to </w:t>
      </w:r>
      <w:r w:rsidR="008F2BDC">
        <w:rPr>
          <w:rFonts w:ascii="Arial" w:hAnsi="Arial" w:cs="Arial"/>
        </w:rPr>
        <w:t>reduce these incidents</w:t>
      </w:r>
      <w:r w:rsidR="00EA27C0">
        <w:rPr>
          <w:rFonts w:ascii="Arial" w:hAnsi="Arial" w:cs="Arial"/>
        </w:rPr>
        <w:t xml:space="preserve">,” said </w:t>
      </w:r>
      <w:r w:rsidR="0047683F">
        <w:rPr>
          <w:rFonts w:ascii="Arial" w:hAnsi="Arial" w:cs="Arial"/>
        </w:rPr>
        <w:t>General Manager Environment and Development Ransce Salan</w:t>
      </w:r>
      <w:r w:rsidR="00EA27C0">
        <w:rPr>
          <w:rFonts w:ascii="Arial" w:hAnsi="Arial" w:cs="Arial"/>
        </w:rPr>
        <w:t>.</w:t>
      </w:r>
    </w:p>
    <w:p w:rsidR="00DD5CBD" w:rsidRDefault="00040158" w:rsidP="00DD5CBD">
      <w:pPr>
        <w:rPr>
          <w:rFonts w:ascii="Arial" w:hAnsi="Arial" w:cs="Arial"/>
        </w:rPr>
      </w:pPr>
      <w:r>
        <w:rPr>
          <w:rFonts w:ascii="Arial" w:hAnsi="Arial" w:cs="Arial"/>
        </w:rPr>
        <w:t>“The result is that i</w:t>
      </w:r>
      <w:r w:rsidR="008F2BDC">
        <w:rPr>
          <w:rFonts w:ascii="Arial" w:hAnsi="Arial" w:cs="Arial"/>
        </w:rPr>
        <w:t>n the last four years</w:t>
      </w:r>
      <w:r w:rsidR="00442751">
        <w:rPr>
          <w:rFonts w:ascii="Arial" w:hAnsi="Arial" w:cs="Arial"/>
        </w:rPr>
        <w:t xml:space="preserve"> there has been </w:t>
      </w:r>
      <w:r w:rsidR="00DD5CBD">
        <w:rPr>
          <w:rFonts w:ascii="Arial" w:hAnsi="Arial" w:cs="Arial"/>
        </w:rPr>
        <w:t>an average of less than one</w:t>
      </w:r>
      <w:r w:rsidR="008F2BDC">
        <w:rPr>
          <w:rFonts w:ascii="Arial" w:hAnsi="Arial" w:cs="Arial"/>
        </w:rPr>
        <w:t xml:space="preserve"> incident</w:t>
      </w:r>
      <w:r w:rsidR="00DD5CBD">
        <w:rPr>
          <w:rFonts w:ascii="Arial" w:hAnsi="Arial" w:cs="Arial"/>
        </w:rPr>
        <w:t xml:space="preserve"> per year </w:t>
      </w:r>
      <w:r w:rsidR="008F2BDC">
        <w:rPr>
          <w:rFonts w:ascii="Arial" w:hAnsi="Arial" w:cs="Arial"/>
        </w:rPr>
        <w:t>in each town</w:t>
      </w:r>
      <w:r w:rsidR="00DD5CBD">
        <w:rPr>
          <w:rFonts w:ascii="Arial" w:hAnsi="Arial" w:cs="Arial"/>
        </w:rPr>
        <w:t>.</w:t>
      </w:r>
    </w:p>
    <w:p w:rsidR="00C57456" w:rsidRDefault="00442751" w:rsidP="00DD5CBD">
      <w:pPr>
        <w:rPr>
          <w:rFonts w:ascii="Arial" w:hAnsi="Arial" w:cs="Arial"/>
        </w:rPr>
      </w:pPr>
      <w:r>
        <w:rPr>
          <w:rFonts w:ascii="Arial" w:hAnsi="Arial" w:cs="Arial"/>
        </w:rPr>
        <w:t>“T</w:t>
      </w:r>
      <w:r w:rsidR="0062107B">
        <w:rPr>
          <w:rFonts w:ascii="Arial" w:hAnsi="Arial" w:cs="Arial"/>
        </w:rPr>
        <w:t>his achievement</w:t>
      </w:r>
      <w:r w:rsidR="000401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comes at </w:t>
      </w:r>
      <w:r w:rsidR="0062107B">
        <w:rPr>
          <w:rFonts w:ascii="Arial" w:hAnsi="Arial" w:cs="Arial"/>
        </w:rPr>
        <w:t xml:space="preserve">a financial </w:t>
      </w:r>
      <w:r>
        <w:rPr>
          <w:rFonts w:ascii="Arial" w:hAnsi="Arial" w:cs="Arial"/>
        </w:rPr>
        <w:t xml:space="preserve">cost though and we are now at a point where </w:t>
      </w:r>
      <w:r w:rsidR="00040158">
        <w:rPr>
          <w:rFonts w:ascii="Arial" w:hAnsi="Arial" w:cs="Arial"/>
        </w:rPr>
        <w:t xml:space="preserve">just </w:t>
      </w:r>
      <w:r w:rsidR="00C57456">
        <w:rPr>
          <w:rFonts w:ascii="Arial" w:hAnsi="Arial" w:cs="Arial"/>
        </w:rPr>
        <w:t>15% of the total budget required to stage fi</w:t>
      </w:r>
      <w:r w:rsidR="008F2BDC">
        <w:rPr>
          <w:rFonts w:ascii="Arial" w:hAnsi="Arial" w:cs="Arial"/>
        </w:rPr>
        <w:t>reworks is</w:t>
      </w:r>
      <w:r w:rsidR="00C57456">
        <w:rPr>
          <w:rFonts w:ascii="Arial" w:hAnsi="Arial" w:cs="Arial"/>
        </w:rPr>
        <w:t xml:space="preserve"> spent on the actual fireworks</w:t>
      </w:r>
      <w:r>
        <w:rPr>
          <w:rFonts w:ascii="Arial" w:hAnsi="Arial" w:cs="Arial"/>
        </w:rPr>
        <w:t xml:space="preserve"> display</w:t>
      </w:r>
      <w:r w:rsidR="008F2BDC">
        <w:rPr>
          <w:rFonts w:ascii="Arial" w:hAnsi="Arial" w:cs="Arial"/>
        </w:rPr>
        <w:t xml:space="preserve"> with the remainder</w:t>
      </w:r>
      <w:r w:rsidR="00C57456">
        <w:rPr>
          <w:rFonts w:ascii="Arial" w:hAnsi="Arial" w:cs="Arial"/>
        </w:rPr>
        <w:t xml:space="preserve"> </w:t>
      </w:r>
      <w:r w:rsidR="008F2BDC">
        <w:rPr>
          <w:rFonts w:ascii="Arial" w:hAnsi="Arial" w:cs="Arial"/>
        </w:rPr>
        <w:t>having to pay for</w:t>
      </w:r>
      <w:r w:rsidR="00C57456">
        <w:rPr>
          <w:rFonts w:ascii="Arial" w:hAnsi="Arial" w:cs="Arial"/>
        </w:rPr>
        <w:t xml:space="preserve"> security</w:t>
      </w:r>
      <w:r w:rsidR="00040158">
        <w:rPr>
          <w:rFonts w:ascii="Arial" w:hAnsi="Arial" w:cs="Arial"/>
        </w:rPr>
        <w:t xml:space="preserve">, fencing, lighting and ambulance </w:t>
      </w:r>
      <w:r w:rsidR="00C57456">
        <w:rPr>
          <w:rFonts w:ascii="Arial" w:hAnsi="Arial" w:cs="Arial"/>
        </w:rPr>
        <w:t>resources</w:t>
      </w:r>
      <w:r w:rsidR="00EA27C0">
        <w:rPr>
          <w:rFonts w:ascii="Arial" w:hAnsi="Arial" w:cs="Arial"/>
        </w:rPr>
        <w:t>,” he said.</w:t>
      </w:r>
    </w:p>
    <w:p w:rsidR="00442751" w:rsidRDefault="00442751" w:rsidP="00DD5CBD">
      <w:pPr>
        <w:rPr>
          <w:rFonts w:ascii="Arial" w:hAnsi="Arial" w:cs="Arial"/>
        </w:rPr>
      </w:pPr>
      <w:r>
        <w:rPr>
          <w:rFonts w:ascii="Arial" w:hAnsi="Arial" w:cs="Arial"/>
        </w:rPr>
        <w:t>“Torquay’s cr</w:t>
      </w:r>
      <w:r w:rsidR="008F2BDC">
        <w:rPr>
          <w:rFonts w:ascii="Arial" w:hAnsi="Arial" w:cs="Arial"/>
        </w:rPr>
        <w:t>o</w:t>
      </w:r>
      <w:r w:rsidR="00420F86">
        <w:rPr>
          <w:rFonts w:ascii="Arial" w:hAnsi="Arial" w:cs="Arial"/>
        </w:rPr>
        <w:t>wd numbers have risen sharply</w:t>
      </w:r>
      <w:r w:rsidR="00040158">
        <w:rPr>
          <w:rFonts w:ascii="Arial" w:hAnsi="Arial" w:cs="Arial"/>
        </w:rPr>
        <w:t>, in part through the influence of social media,</w:t>
      </w:r>
      <w:r>
        <w:rPr>
          <w:rFonts w:ascii="Arial" w:hAnsi="Arial" w:cs="Arial"/>
        </w:rPr>
        <w:t xml:space="preserve"> and many people are now </w:t>
      </w:r>
      <w:r w:rsidR="00C57456">
        <w:rPr>
          <w:rFonts w:ascii="Arial" w:hAnsi="Arial" w:cs="Arial"/>
        </w:rPr>
        <w:t xml:space="preserve">congregating in areas that are unlit and unsecured. The cost to provide additional safety infrastructure </w:t>
      </w:r>
      <w:r w:rsidR="008F2BDC">
        <w:rPr>
          <w:rFonts w:ascii="Arial" w:hAnsi="Arial" w:cs="Arial"/>
        </w:rPr>
        <w:t xml:space="preserve">in these areas </w:t>
      </w:r>
      <w:r>
        <w:rPr>
          <w:rFonts w:ascii="Arial" w:hAnsi="Arial" w:cs="Arial"/>
        </w:rPr>
        <w:t>w</w:t>
      </w:r>
      <w:r w:rsidR="008F2BDC">
        <w:rPr>
          <w:rFonts w:ascii="Arial" w:hAnsi="Arial" w:cs="Arial"/>
        </w:rPr>
        <w:t>o</w:t>
      </w:r>
      <w:r>
        <w:rPr>
          <w:rFonts w:ascii="Arial" w:hAnsi="Arial" w:cs="Arial"/>
        </w:rPr>
        <w:t>uld be prohibi</w:t>
      </w:r>
      <w:r w:rsidR="00040158">
        <w:rPr>
          <w:rFonts w:ascii="Arial" w:hAnsi="Arial" w:cs="Arial"/>
        </w:rPr>
        <w:t>tive so Council will</w:t>
      </w:r>
      <w:r>
        <w:rPr>
          <w:rFonts w:ascii="Arial" w:hAnsi="Arial" w:cs="Arial"/>
        </w:rPr>
        <w:t xml:space="preserve"> no longer stage fireworks in Torquay.</w:t>
      </w:r>
    </w:p>
    <w:p w:rsidR="00442751" w:rsidRDefault="00040158" w:rsidP="00DD5CBD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442751">
        <w:rPr>
          <w:rFonts w:ascii="Arial" w:hAnsi="Arial" w:cs="Arial"/>
        </w:rPr>
        <w:t>We’ve made this decision knowing there is a still New Year’s Eve fireworks display</w:t>
      </w:r>
      <w:r>
        <w:rPr>
          <w:rFonts w:ascii="Arial" w:hAnsi="Arial" w:cs="Arial"/>
        </w:rPr>
        <w:t xml:space="preserve"> at a less </w:t>
      </w:r>
      <w:proofErr w:type="gramStart"/>
      <w:r>
        <w:rPr>
          <w:rFonts w:ascii="Arial" w:hAnsi="Arial" w:cs="Arial"/>
        </w:rPr>
        <w:t>congested</w:t>
      </w:r>
      <w:proofErr w:type="gramEnd"/>
      <w:r>
        <w:rPr>
          <w:rFonts w:ascii="Arial" w:hAnsi="Arial" w:cs="Arial"/>
        </w:rPr>
        <w:t xml:space="preserve"> location in </w:t>
      </w:r>
      <w:r w:rsidR="00442751">
        <w:rPr>
          <w:rFonts w:ascii="Arial" w:hAnsi="Arial" w:cs="Arial"/>
        </w:rPr>
        <w:t>Torquay availabl</w:t>
      </w:r>
      <w:r w:rsidR="00EA27C0">
        <w:rPr>
          <w:rFonts w:ascii="Arial" w:hAnsi="Arial" w:cs="Arial"/>
        </w:rPr>
        <w:t>e through a commercial provider,” he said.</w:t>
      </w:r>
    </w:p>
    <w:p w:rsidR="00442751" w:rsidRDefault="00442751" w:rsidP="00DD5C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Council’s Lorne fireworks will continue </w:t>
      </w:r>
      <w:r w:rsidR="00A118AB" w:rsidRPr="00FC7A98">
        <w:rPr>
          <w:rFonts w:ascii="Arial" w:hAnsi="Arial" w:cs="Arial"/>
        </w:rPr>
        <w:t xml:space="preserve">as </w:t>
      </w:r>
      <w:r w:rsidRPr="00FC7A98">
        <w:rPr>
          <w:rFonts w:ascii="Arial" w:hAnsi="Arial" w:cs="Arial"/>
        </w:rPr>
        <w:t xml:space="preserve">the staging is such that crowd logistics are </w:t>
      </w:r>
      <w:r w:rsidR="00A118AB" w:rsidRPr="00FC7A98">
        <w:rPr>
          <w:rFonts w:ascii="Arial" w:hAnsi="Arial" w:cs="Arial"/>
        </w:rPr>
        <w:t>currently</w:t>
      </w:r>
      <w:r w:rsidR="00A118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less problematic than Torquay.</w:t>
      </w:r>
    </w:p>
    <w:p w:rsidR="00442751" w:rsidRDefault="00040158" w:rsidP="00DD5CBD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442751">
        <w:rPr>
          <w:rFonts w:ascii="Arial" w:hAnsi="Arial" w:cs="Arial"/>
        </w:rPr>
        <w:t>Before making this decision we sought feedback from emergency age</w:t>
      </w:r>
      <w:r w:rsidR="00EA27C0">
        <w:rPr>
          <w:rFonts w:ascii="Arial" w:hAnsi="Arial" w:cs="Arial"/>
        </w:rPr>
        <w:t>ncies including Vict</w:t>
      </w:r>
      <w:r w:rsidR="0047683F">
        <w:rPr>
          <w:rFonts w:ascii="Arial" w:hAnsi="Arial" w:cs="Arial"/>
        </w:rPr>
        <w:t>oria Police,” said Mr Salan</w:t>
      </w:r>
      <w:r w:rsidR="00EA27C0">
        <w:rPr>
          <w:rFonts w:ascii="Arial" w:hAnsi="Arial" w:cs="Arial"/>
        </w:rPr>
        <w:t>.</w:t>
      </w:r>
    </w:p>
    <w:p w:rsidR="00442751" w:rsidRDefault="00040158" w:rsidP="00DD5CBD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442751">
        <w:rPr>
          <w:rFonts w:ascii="Arial" w:hAnsi="Arial" w:cs="Arial"/>
        </w:rPr>
        <w:t>We appreciate some people may be dis</w:t>
      </w:r>
      <w:r w:rsidR="008F2BDC">
        <w:rPr>
          <w:rFonts w:ascii="Arial" w:hAnsi="Arial" w:cs="Arial"/>
        </w:rPr>
        <w:t>app</w:t>
      </w:r>
      <w:r>
        <w:rPr>
          <w:rFonts w:ascii="Arial" w:hAnsi="Arial" w:cs="Arial"/>
        </w:rPr>
        <w:t>ointed but public safety must always be</w:t>
      </w:r>
      <w:r w:rsidR="008F2BDC">
        <w:rPr>
          <w:rFonts w:ascii="Arial" w:hAnsi="Arial" w:cs="Arial"/>
        </w:rPr>
        <w:t xml:space="preserve"> the first priorit</w:t>
      </w:r>
      <w:r w:rsidR="00EA27C0">
        <w:rPr>
          <w:rFonts w:ascii="Arial" w:hAnsi="Arial" w:cs="Arial"/>
        </w:rPr>
        <w:t xml:space="preserve">y.” </w:t>
      </w:r>
    </w:p>
    <w:p w:rsidR="000B1E02" w:rsidRDefault="008F2BDC" w:rsidP="001E59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Surf Coast Shire Council will </w:t>
      </w:r>
      <w:r w:rsidR="00040158">
        <w:rPr>
          <w:rFonts w:ascii="Arial" w:hAnsi="Arial" w:cs="Arial"/>
        </w:rPr>
        <w:t>redirect funds normally spent on fireworks to install tree lighting in Gilbert Street Torquay.</w:t>
      </w:r>
    </w:p>
    <w:p w:rsidR="00595C1F" w:rsidRDefault="00CF2F2B" w:rsidP="006E4456">
      <w:pPr>
        <w:rPr>
          <w:rFonts w:ascii="Arial" w:hAnsi="Arial" w:cs="Arial"/>
        </w:rPr>
      </w:pPr>
      <w:r>
        <w:rPr>
          <w:rFonts w:ascii="Arial" w:hAnsi="Arial" w:cs="Arial"/>
        </w:rPr>
        <w:t>ENDS</w:t>
      </w:r>
    </w:p>
    <w:p w:rsidR="0091099C" w:rsidRPr="00CF2F2B" w:rsidRDefault="0091099C" w:rsidP="006E4456">
      <w:pPr>
        <w:rPr>
          <w:rFonts w:ascii="Arial" w:hAnsi="Arial" w:cs="Arial"/>
        </w:rPr>
      </w:pPr>
    </w:p>
    <w:p w:rsidR="00420F86" w:rsidRPr="00420F86" w:rsidRDefault="00F25F9A" w:rsidP="00F25F9A">
      <w:pPr>
        <w:spacing w:after="0"/>
        <w:rPr>
          <w:rFonts w:ascii="Arial" w:hAnsi="Arial" w:cs="Arial"/>
          <w:sz w:val="18"/>
          <w:szCs w:val="18"/>
        </w:rPr>
      </w:pPr>
      <w:r w:rsidRPr="00420F86">
        <w:rPr>
          <w:rFonts w:ascii="Arial" w:hAnsi="Arial" w:cs="Arial"/>
          <w:b/>
          <w:sz w:val="18"/>
          <w:szCs w:val="18"/>
        </w:rPr>
        <w:lastRenderedPageBreak/>
        <w:t xml:space="preserve">Not for publication: </w:t>
      </w:r>
      <w:r w:rsidRPr="00420F86">
        <w:rPr>
          <w:noProof/>
          <w:sz w:val="18"/>
          <w:szCs w:val="18"/>
          <w:lang w:eastAsia="en-A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-20955</wp:posOffset>
            </wp:positionH>
            <wp:positionV relativeFrom="page">
              <wp:posOffset>10046335</wp:posOffset>
            </wp:positionV>
            <wp:extent cx="7564120" cy="6292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986" b="1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B" w:rsidRPr="00420F86">
        <w:rPr>
          <w:rFonts w:ascii="Arial" w:hAnsi="Arial" w:cs="Arial"/>
          <w:sz w:val="18"/>
          <w:szCs w:val="18"/>
        </w:rPr>
        <w:t xml:space="preserve"> </w:t>
      </w:r>
    </w:p>
    <w:p w:rsidR="00D6210D" w:rsidRPr="00420F86" w:rsidRDefault="00CF2F2B" w:rsidP="00F25F9A">
      <w:pPr>
        <w:spacing w:after="0"/>
        <w:rPr>
          <w:rFonts w:ascii="Arial" w:hAnsi="Arial" w:cs="Arial"/>
          <w:sz w:val="18"/>
          <w:szCs w:val="18"/>
        </w:rPr>
      </w:pPr>
      <w:r w:rsidRPr="00420F86">
        <w:rPr>
          <w:rFonts w:ascii="Arial" w:hAnsi="Arial" w:cs="Arial"/>
          <w:sz w:val="18"/>
          <w:szCs w:val="18"/>
        </w:rPr>
        <w:t xml:space="preserve">For further information: </w:t>
      </w:r>
      <w:r w:rsidR="00C35EF2" w:rsidRPr="00420F86">
        <w:rPr>
          <w:rFonts w:ascii="Arial" w:hAnsi="Arial" w:cs="Arial"/>
          <w:sz w:val="18"/>
          <w:szCs w:val="18"/>
        </w:rPr>
        <w:t>Darryn Chiller – Coordinator Communications and Community Engagement</w:t>
      </w:r>
      <w:r w:rsidR="00C35EF2" w:rsidRPr="00420F86">
        <w:rPr>
          <w:rFonts w:ascii="Arial" w:hAnsi="Arial" w:cs="Arial"/>
          <w:sz w:val="18"/>
          <w:szCs w:val="18"/>
        </w:rPr>
        <w:br/>
        <w:t xml:space="preserve">5261 </w:t>
      </w:r>
      <w:proofErr w:type="gramStart"/>
      <w:r w:rsidR="00C35EF2" w:rsidRPr="00420F86">
        <w:rPr>
          <w:rFonts w:ascii="Arial" w:hAnsi="Arial" w:cs="Arial"/>
          <w:sz w:val="18"/>
          <w:szCs w:val="18"/>
        </w:rPr>
        <w:t>0598  /</w:t>
      </w:r>
      <w:proofErr w:type="gramEnd"/>
      <w:r w:rsidR="00C35EF2" w:rsidRPr="00420F86">
        <w:rPr>
          <w:rFonts w:ascii="Arial" w:hAnsi="Arial" w:cs="Arial"/>
          <w:sz w:val="18"/>
          <w:szCs w:val="18"/>
        </w:rPr>
        <w:t xml:space="preserve">  0417 302 068</w:t>
      </w:r>
    </w:p>
    <w:sectPr w:rsidR="00D6210D" w:rsidRPr="00420F86" w:rsidSect="00A50982">
      <w:pgSz w:w="11906" w:h="16838"/>
      <w:pgMar w:top="2977" w:right="1134" w:bottom="851" w:left="1134" w:header="425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CFA" w:rsidRDefault="00AB5CFA" w:rsidP="00A54BE8">
      <w:pPr>
        <w:spacing w:after="0" w:line="240" w:lineRule="auto"/>
      </w:pPr>
      <w:r>
        <w:separator/>
      </w:r>
    </w:p>
  </w:endnote>
  <w:endnote w:type="continuationSeparator" w:id="0">
    <w:p w:rsidR="00AB5CFA" w:rsidRDefault="00AB5CFA" w:rsidP="00A5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CFA" w:rsidRDefault="00AB5CFA" w:rsidP="00A54BE8">
      <w:pPr>
        <w:spacing w:after="0" w:line="240" w:lineRule="auto"/>
      </w:pPr>
      <w:r>
        <w:separator/>
      </w:r>
    </w:p>
  </w:footnote>
  <w:footnote w:type="continuationSeparator" w:id="0">
    <w:p w:rsidR="00AB5CFA" w:rsidRDefault="00AB5CFA" w:rsidP="00A54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B6F"/>
    <w:multiLevelType w:val="hybridMultilevel"/>
    <w:tmpl w:val="13B80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D3BD2"/>
    <w:multiLevelType w:val="multilevel"/>
    <w:tmpl w:val="3FBA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B536CE"/>
    <w:multiLevelType w:val="hybridMultilevel"/>
    <w:tmpl w:val="9496B5CC"/>
    <w:lvl w:ilvl="0" w:tplc="CE704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7077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F02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EC2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8B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0297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9A0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384B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C420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806D2"/>
    <w:multiLevelType w:val="hybridMultilevel"/>
    <w:tmpl w:val="A420D914"/>
    <w:lvl w:ilvl="0" w:tplc="693EEC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5A48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0E5C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1A29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BE54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226D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E674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7E75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66DF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65429D1"/>
    <w:multiLevelType w:val="hybridMultilevel"/>
    <w:tmpl w:val="CF3A6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A12A4"/>
    <w:multiLevelType w:val="hybridMultilevel"/>
    <w:tmpl w:val="BE7881F6"/>
    <w:lvl w:ilvl="0" w:tplc="4B06B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89E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DEE7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56F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A39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FAE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109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CDF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7A4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4235C6"/>
    <w:multiLevelType w:val="hybridMultilevel"/>
    <w:tmpl w:val="7C96E818"/>
    <w:lvl w:ilvl="0" w:tplc="6EB0B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AA7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9C6C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40A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C5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BC65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D2B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7E85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F0D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1F"/>
    <w:rsid w:val="00006817"/>
    <w:rsid w:val="000259D9"/>
    <w:rsid w:val="00032FD6"/>
    <w:rsid w:val="00040158"/>
    <w:rsid w:val="00047849"/>
    <w:rsid w:val="000604D6"/>
    <w:rsid w:val="0006064F"/>
    <w:rsid w:val="00065627"/>
    <w:rsid w:val="000749ED"/>
    <w:rsid w:val="000A3894"/>
    <w:rsid w:val="000A63C9"/>
    <w:rsid w:val="000B1E02"/>
    <w:rsid w:val="000B35D8"/>
    <w:rsid w:val="000B64F1"/>
    <w:rsid w:val="000C18FA"/>
    <w:rsid w:val="000D1D5F"/>
    <w:rsid w:val="000D2C8C"/>
    <w:rsid w:val="000F4396"/>
    <w:rsid w:val="001034E4"/>
    <w:rsid w:val="001109B4"/>
    <w:rsid w:val="00117664"/>
    <w:rsid w:val="00121B0F"/>
    <w:rsid w:val="00123379"/>
    <w:rsid w:val="00140B99"/>
    <w:rsid w:val="0014764E"/>
    <w:rsid w:val="001501A3"/>
    <w:rsid w:val="001527A9"/>
    <w:rsid w:val="00153A59"/>
    <w:rsid w:val="00187A69"/>
    <w:rsid w:val="00194110"/>
    <w:rsid w:val="001A05D8"/>
    <w:rsid w:val="001A660A"/>
    <w:rsid w:val="001B1800"/>
    <w:rsid w:val="001C0D6F"/>
    <w:rsid w:val="001C1F93"/>
    <w:rsid w:val="001C2B07"/>
    <w:rsid w:val="001C387E"/>
    <w:rsid w:val="001E20F4"/>
    <w:rsid w:val="001E2CCF"/>
    <w:rsid w:val="001E5921"/>
    <w:rsid w:val="001E5F56"/>
    <w:rsid w:val="001F5529"/>
    <w:rsid w:val="001F65E5"/>
    <w:rsid w:val="00200F7A"/>
    <w:rsid w:val="00224DDD"/>
    <w:rsid w:val="002566DF"/>
    <w:rsid w:val="00260E10"/>
    <w:rsid w:val="00266687"/>
    <w:rsid w:val="00266CA2"/>
    <w:rsid w:val="0027556E"/>
    <w:rsid w:val="00277B82"/>
    <w:rsid w:val="00282248"/>
    <w:rsid w:val="002A1CE2"/>
    <w:rsid w:val="002B2CCE"/>
    <w:rsid w:val="002B3C5D"/>
    <w:rsid w:val="002B6D87"/>
    <w:rsid w:val="002D3F78"/>
    <w:rsid w:val="002D7B55"/>
    <w:rsid w:val="002F4C96"/>
    <w:rsid w:val="00317206"/>
    <w:rsid w:val="00322459"/>
    <w:rsid w:val="003252E8"/>
    <w:rsid w:val="003353E2"/>
    <w:rsid w:val="00347DD7"/>
    <w:rsid w:val="00352542"/>
    <w:rsid w:val="00355BE2"/>
    <w:rsid w:val="0035660C"/>
    <w:rsid w:val="00364AF1"/>
    <w:rsid w:val="003725BA"/>
    <w:rsid w:val="003915D7"/>
    <w:rsid w:val="003D4EB6"/>
    <w:rsid w:val="003D63E8"/>
    <w:rsid w:val="003E51A3"/>
    <w:rsid w:val="003F4907"/>
    <w:rsid w:val="00400086"/>
    <w:rsid w:val="00410BE3"/>
    <w:rsid w:val="0041277E"/>
    <w:rsid w:val="00412FE4"/>
    <w:rsid w:val="00420F86"/>
    <w:rsid w:val="00423D82"/>
    <w:rsid w:val="00424999"/>
    <w:rsid w:val="00432B84"/>
    <w:rsid w:val="00442751"/>
    <w:rsid w:val="00444D40"/>
    <w:rsid w:val="00463216"/>
    <w:rsid w:val="00463BAD"/>
    <w:rsid w:val="00472583"/>
    <w:rsid w:val="00475C77"/>
    <w:rsid w:val="0047683F"/>
    <w:rsid w:val="00476B78"/>
    <w:rsid w:val="00483E0F"/>
    <w:rsid w:val="004920E6"/>
    <w:rsid w:val="00492A7B"/>
    <w:rsid w:val="00495C02"/>
    <w:rsid w:val="004C3EF2"/>
    <w:rsid w:val="004E16DC"/>
    <w:rsid w:val="004F05F6"/>
    <w:rsid w:val="005147C1"/>
    <w:rsid w:val="00514A2B"/>
    <w:rsid w:val="00515054"/>
    <w:rsid w:val="00515A23"/>
    <w:rsid w:val="00524F09"/>
    <w:rsid w:val="00530C06"/>
    <w:rsid w:val="0053117B"/>
    <w:rsid w:val="00537D37"/>
    <w:rsid w:val="00574BAA"/>
    <w:rsid w:val="005814FD"/>
    <w:rsid w:val="00582C00"/>
    <w:rsid w:val="00587DBC"/>
    <w:rsid w:val="00590C39"/>
    <w:rsid w:val="00595C1F"/>
    <w:rsid w:val="005967AC"/>
    <w:rsid w:val="005A4C52"/>
    <w:rsid w:val="005B6D01"/>
    <w:rsid w:val="005D1308"/>
    <w:rsid w:val="005D623C"/>
    <w:rsid w:val="005E27E5"/>
    <w:rsid w:val="005F00DB"/>
    <w:rsid w:val="005F0395"/>
    <w:rsid w:val="005F5C4C"/>
    <w:rsid w:val="006014DF"/>
    <w:rsid w:val="00607564"/>
    <w:rsid w:val="00610353"/>
    <w:rsid w:val="006127BF"/>
    <w:rsid w:val="0062107B"/>
    <w:rsid w:val="00630433"/>
    <w:rsid w:val="0063259D"/>
    <w:rsid w:val="0063428B"/>
    <w:rsid w:val="00645787"/>
    <w:rsid w:val="0065148A"/>
    <w:rsid w:val="006D72AF"/>
    <w:rsid w:val="006E4456"/>
    <w:rsid w:val="007042B3"/>
    <w:rsid w:val="00704E84"/>
    <w:rsid w:val="00720045"/>
    <w:rsid w:val="0075430F"/>
    <w:rsid w:val="00756AEF"/>
    <w:rsid w:val="00762416"/>
    <w:rsid w:val="00776D85"/>
    <w:rsid w:val="007A0445"/>
    <w:rsid w:val="007B0E56"/>
    <w:rsid w:val="007B51BC"/>
    <w:rsid w:val="007C3DA3"/>
    <w:rsid w:val="007C5F5B"/>
    <w:rsid w:val="007D74A5"/>
    <w:rsid w:val="007E0825"/>
    <w:rsid w:val="007E11C7"/>
    <w:rsid w:val="007E29B0"/>
    <w:rsid w:val="007E3CDD"/>
    <w:rsid w:val="007E7EE8"/>
    <w:rsid w:val="007F212B"/>
    <w:rsid w:val="007F377C"/>
    <w:rsid w:val="00805FC6"/>
    <w:rsid w:val="0080717A"/>
    <w:rsid w:val="00810747"/>
    <w:rsid w:val="00817571"/>
    <w:rsid w:val="0082577C"/>
    <w:rsid w:val="008339F3"/>
    <w:rsid w:val="008409D5"/>
    <w:rsid w:val="008415DF"/>
    <w:rsid w:val="008475D6"/>
    <w:rsid w:val="00857A9C"/>
    <w:rsid w:val="00860A17"/>
    <w:rsid w:val="00861663"/>
    <w:rsid w:val="00885836"/>
    <w:rsid w:val="008860B7"/>
    <w:rsid w:val="008A1E2B"/>
    <w:rsid w:val="008A33A8"/>
    <w:rsid w:val="008B2A82"/>
    <w:rsid w:val="008B2EC9"/>
    <w:rsid w:val="008B5EB8"/>
    <w:rsid w:val="008B6712"/>
    <w:rsid w:val="008C643A"/>
    <w:rsid w:val="008D116A"/>
    <w:rsid w:val="008D28E9"/>
    <w:rsid w:val="008E1B57"/>
    <w:rsid w:val="008F27B2"/>
    <w:rsid w:val="008F2BDC"/>
    <w:rsid w:val="0090479E"/>
    <w:rsid w:val="00904D64"/>
    <w:rsid w:val="0091099C"/>
    <w:rsid w:val="00932FD5"/>
    <w:rsid w:val="00937183"/>
    <w:rsid w:val="00946B36"/>
    <w:rsid w:val="0095530A"/>
    <w:rsid w:val="00961FE2"/>
    <w:rsid w:val="00975765"/>
    <w:rsid w:val="0097790D"/>
    <w:rsid w:val="00987E32"/>
    <w:rsid w:val="009B474C"/>
    <w:rsid w:val="009C0C8E"/>
    <w:rsid w:val="009C2C01"/>
    <w:rsid w:val="009C6E7F"/>
    <w:rsid w:val="009C7902"/>
    <w:rsid w:val="009D3EF9"/>
    <w:rsid w:val="009D456F"/>
    <w:rsid w:val="009D6B5A"/>
    <w:rsid w:val="00A02DF4"/>
    <w:rsid w:val="00A118AB"/>
    <w:rsid w:val="00A13CBB"/>
    <w:rsid w:val="00A33E23"/>
    <w:rsid w:val="00A428C6"/>
    <w:rsid w:val="00A452E8"/>
    <w:rsid w:val="00A46F43"/>
    <w:rsid w:val="00A506F9"/>
    <w:rsid w:val="00A50982"/>
    <w:rsid w:val="00A54BE8"/>
    <w:rsid w:val="00A62241"/>
    <w:rsid w:val="00A647BC"/>
    <w:rsid w:val="00A66B13"/>
    <w:rsid w:val="00A756B7"/>
    <w:rsid w:val="00A85AEF"/>
    <w:rsid w:val="00A85B96"/>
    <w:rsid w:val="00A86223"/>
    <w:rsid w:val="00AA0971"/>
    <w:rsid w:val="00AA29A7"/>
    <w:rsid w:val="00AB5CFA"/>
    <w:rsid w:val="00AC2689"/>
    <w:rsid w:val="00AC3E6F"/>
    <w:rsid w:val="00AE34DB"/>
    <w:rsid w:val="00AE781E"/>
    <w:rsid w:val="00AF7303"/>
    <w:rsid w:val="00B05F0C"/>
    <w:rsid w:val="00B5659D"/>
    <w:rsid w:val="00B641A6"/>
    <w:rsid w:val="00B665F3"/>
    <w:rsid w:val="00B70147"/>
    <w:rsid w:val="00B91EC2"/>
    <w:rsid w:val="00BB45FD"/>
    <w:rsid w:val="00BC5CC7"/>
    <w:rsid w:val="00BD7824"/>
    <w:rsid w:val="00BE12DB"/>
    <w:rsid w:val="00BF153B"/>
    <w:rsid w:val="00BF1FC4"/>
    <w:rsid w:val="00BF7F8E"/>
    <w:rsid w:val="00C25ABE"/>
    <w:rsid w:val="00C311E4"/>
    <w:rsid w:val="00C35236"/>
    <w:rsid w:val="00C35EF2"/>
    <w:rsid w:val="00C57456"/>
    <w:rsid w:val="00C65240"/>
    <w:rsid w:val="00C67990"/>
    <w:rsid w:val="00C72BFD"/>
    <w:rsid w:val="00C74FAD"/>
    <w:rsid w:val="00C83395"/>
    <w:rsid w:val="00C91317"/>
    <w:rsid w:val="00C97B4A"/>
    <w:rsid w:val="00CA2AB6"/>
    <w:rsid w:val="00CA2C7E"/>
    <w:rsid w:val="00CA7D07"/>
    <w:rsid w:val="00CB2F5A"/>
    <w:rsid w:val="00CC381B"/>
    <w:rsid w:val="00CC3B36"/>
    <w:rsid w:val="00CF2F2B"/>
    <w:rsid w:val="00D06C3C"/>
    <w:rsid w:val="00D3101E"/>
    <w:rsid w:val="00D40AF2"/>
    <w:rsid w:val="00D40C4B"/>
    <w:rsid w:val="00D513CB"/>
    <w:rsid w:val="00D573F6"/>
    <w:rsid w:val="00D6210D"/>
    <w:rsid w:val="00D63B5E"/>
    <w:rsid w:val="00D65B1F"/>
    <w:rsid w:val="00D770F9"/>
    <w:rsid w:val="00D83956"/>
    <w:rsid w:val="00D85A8B"/>
    <w:rsid w:val="00D87825"/>
    <w:rsid w:val="00D9529C"/>
    <w:rsid w:val="00DC5055"/>
    <w:rsid w:val="00DC5A47"/>
    <w:rsid w:val="00DC7BF6"/>
    <w:rsid w:val="00DD5CBD"/>
    <w:rsid w:val="00DE569E"/>
    <w:rsid w:val="00DE5B6D"/>
    <w:rsid w:val="00DF4060"/>
    <w:rsid w:val="00DF6AA3"/>
    <w:rsid w:val="00E0359C"/>
    <w:rsid w:val="00E104B3"/>
    <w:rsid w:val="00E1076D"/>
    <w:rsid w:val="00E43265"/>
    <w:rsid w:val="00E57583"/>
    <w:rsid w:val="00E604F1"/>
    <w:rsid w:val="00E64274"/>
    <w:rsid w:val="00E671CF"/>
    <w:rsid w:val="00E7177B"/>
    <w:rsid w:val="00E85910"/>
    <w:rsid w:val="00E8706E"/>
    <w:rsid w:val="00EA27C0"/>
    <w:rsid w:val="00EB3287"/>
    <w:rsid w:val="00EC1141"/>
    <w:rsid w:val="00EC27BB"/>
    <w:rsid w:val="00EE32A2"/>
    <w:rsid w:val="00EF6D89"/>
    <w:rsid w:val="00F00D4F"/>
    <w:rsid w:val="00F011C8"/>
    <w:rsid w:val="00F0731E"/>
    <w:rsid w:val="00F0740B"/>
    <w:rsid w:val="00F12390"/>
    <w:rsid w:val="00F24AF8"/>
    <w:rsid w:val="00F25F9A"/>
    <w:rsid w:val="00F33AD5"/>
    <w:rsid w:val="00F36E2C"/>
    <w:rsid w:val="00F3727B"/>
    <w:rsid w:val="00F54107"/>
    <w:rsid w:val="00F57DCE"/>
    <w:rsid w:val="00F631ED"/>
    <w:rsid w:val="00F706AC"/>
    <w:rsid w:val="00F82D36"/>
    <w:rsid w:val="00F845C7"/>
    <w:rsid w:val="00F85CB7"/>
    <w:rsid w:val="00FA3F9B"/>
    <w:rsid w:val="00FB3456"/>
    <w:rsid w:val="00FC6C3C"/>
    <w:rsid w:val="00FC7A98"/>
    <w:rsid w:val="00FD0B72"/>
    <w:rsid w:val="00FE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40"/>
  </w:style>
  <w:style w:type="paragraph" w:styleId="Heading3">
    <w:name w:val="heading 3"/>
    <w:basedOn w:val="Normal"/>
    <w:next w:val="Normal"/>
    <w:link w:val="Heading3Char"/>
    <w:qFormat/>
    <w:rsid w:val="00444D40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napToGrid w:val="0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4D40"/>
    <w:rPr>
      <w:rFonts w:ascii="Arial" w:eastAsia="Times New Roman" w:hAnsi="Arial" w:cs="Times New Roman"/>
      <w:b/>
      <w:snapToGrid w:val="0"/>
      <w:color w:val="000000"/>
      <w:sz w:val="24"/>
      <w:szCs w:val="20"/>
    </w:rPr>
  </w:style>
  <w:style w:type="paragraph" w:styleId="Header">
    <w:name w:val="header"/>
    <w:basedOn w:val="Normal"/>
    <w:link w:val="HeaderChar"/>
    <w:rsid w:val="00444D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444D4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54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BE8"/>
  </w:style>
  <w:style w:type="paragraph" w:styleId="BalloonText">
    <w:name w:val="Balloon Text"/>
    <w:basedOn w:val="Normal"/>
    <w:link w:val="BalloonTextChar"/>
    <w:uiPriority w:val="99"/>
    <w:semiHidden/>
    <w:unhideWhenUsed/>
    <w:rsid w:val="00A5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B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5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B1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B1F"/>
    <w:rPr>
      <w:rFonts w:ascii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5B1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845C7"/>
    <w:rPr>
      <w:b/>
      <w:bCs/>
    </w:rPr>
  </w:style>
  <w:style w:type="paragraph" w:styleId="ListParagraph">
    <w:name w:val="List Paragraph"/>
    <w:basedOn w:val="Normal"/>
    <w:uiPriority w:val="34"/>
    <w:qFormat/>
    <w:rsid w:val="0075430F"/>
    <w:pPr>
      <w:spacing w:after="0" w:line="240" w:lineRule="auto"/>
      <w:ind w:left="720"/>
    </w:pPr>
    <w:rPr>
      <w:rFonts w:ascii="Calibri" w:hAnsi="Calibri" w:cs="Times New Roman"/>
    </w:rPr>
  </w:style>
  <w:style w:type="character" w:styleId="Emphasis">
    <w:name w:val="Emphasis"/>
    <w:basedOn w:val="DefaultParagraphFont"/>
    <w:uiPriority w:val="20"/>
    <w:qFormat/>
    <w:rsid w:val="00A85AEF"/>
    <w:rPr>
      <w:i/>
      <w:iCs/>
    </w:rPr>
  </w:style>
  <w:style w:type="paragraph" w:customStyle="1" w:styleId="Default">
    <w:name w:val="Default"/>
    <w:uiPriority w:val="99"/>
    <w:rsid w:val="000604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396"/>
    <w:pPr>
      <w:spacing w:after="20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396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1076D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076D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0B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40"/>
  </w:style>
  <w:style w:type="paragraph" w:styleId="Heading3">
    <w:name w:val="heading 3"/>
    <w:basedOn w:val="Normal"/>
    <w:next w:val="Normal"/>
    <w:link w:val="Heading3Char"/>
    <w:qFormat/>
    <w:rsid w:val="00444D40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napToGrid w:val="0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4D40"/>
    <w:rPr>
      <w:rFonts w:ascii="Arial" w:eastAsia="Times New Roman" w:hAnsi="Arial" w:cs="Times New Roman"/>
      <w:b/>
      <w:snapToGrid w:val="0"/>
      <w:color w:val="000000"/>
      <w:sz w:val="24"/>
      <w:szCs w:val="20"/>
    </w:rPr>
  </w:style>
  <w:style w:type="paragraph" w:styleId="Header">
    <w:name w:val="header"/>
    <w:basedOn w:val="Normal"/>
    <w:link w:val="HeaderChar"/>
    <w:rsid w:val="00444D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444D4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54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BE8"/>
  </w:style>
  <w:style w:type="paragraph" w:styleId="BalloonText">
    <w:name w:val="Balloon Text"/>
    <w:basedOn w:val="Normal"/>
    <w:link w:val="BalloonTextChar"/>
    <w:uiPriority w:val="99"/>
    <w:semiHidden/>
    <w:unhideWhenUsed/>
    <w:rsid w:val="00A5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B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5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B1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B1F"/>
    <w:rPr>
      <w:rFonts w:ascii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5B1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845C7"/>
    <w:rPr>
      <w:b/>
      <w:bCs/>
    </w:rPr>
  </w:style>
  <w:style w:type="paragraph" w:styleId="ListParagraph">
    <w:name w:val="List Paragraph"/>
    <w:basedOn w:val="Normal"/>
    <w:uiPriority w:val="34"/>
    <w:qFormat/>
    <w:rsid w:val="0075430F"/>
    <w:pPr>
      <w:spacing w:after="0" w:line="240" w:lineRule="auto"/>
      <w:ind w:left="720"/>
    </w:pPr>
    <w:rPr>
      <w:rFonts w:ascii="Calibri" w:hAnsi="Calibri" w:cs="Times New Roman"/>
    </w:rPr>
  </w:style>
  <w:style w:type="character" w:styleId="Emphasis">
    <w:name w:val="Emphasis"/>
    <w:basedOn w:val="DefaultParagraphFont"/>
    <w:uiPriority w:val="20"/>
    <w:qFormat/>
    <w:rsid w:val="00A85AEF"/>
    <w:rPr>
      <w:i/>
      <w:iCs/>
    </w:rPr>
  </w:style>
  <w:style w:type="paragraph" w:customStyle="1" w:styleId="Default">
    <w:name w:val="Default"/>
    <w:uiPriority w:val="99"/>
    <w:rsid w:val="000604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396"/>
    <w:pPr>
      <w:spacing w:after="20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396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1076D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076D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0B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6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8094">
          <w:marLeft w:val="7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9679">
          <w:marLeft w:val="7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5273">
          <w:marLeft w:val="7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614">
          <w:marLeft w:val="7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0899">
          <w:marLeft w:val="7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668">
          <w:marLeft w:val="7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673">
          <w:marLeft w:val="7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5914">
          <w:marLeft w:val="7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259">
          <w:marLeft w:val="7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786">
          <w:marLeft w:val="7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535">
          <w:marLeft w:val="7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5914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698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158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4968">
          <w:marLeft w:val="7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 Coast Shire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Fowles</dc:creator>
  <cp:lastModifiedBy>Kate Fowles</cp:lastModifiedBy>
  <cp:revision>2</cp:revision>
  <dcterms:created xsi:type="dcterms:W3CDTF">2019-11-25T22:03:00Z</dcterms:created>
  <dcterms:modified xsi:type="dcterms:W3CDTF">2019-11-25T22:03:00Z</dcterms:modified>
</cp:coreProperties>
</file>